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AE5" w:rsidRPr="00B30861" w:rsidRDefault="00145AE5" w:rsidP="00C346C4">
      <w:pPr>
        <w:spacing w:line="480" w:lineRule="auto"/>
        <w:jc w:val="center"/>
        <w:rPr>
          <w:rFonts w:ascii="Times New Roman" w:hAnsi="Times New Roman" w:cs="Times New Roman"/>
          <w:sz w:val="24"/>
          <w:szCs w:val="24"/>
        </w:rPr>
      </w:pPr>
    </w:p>
    <w:p w:rsidR="006568C0" w:rsidRPr="00B30861" w:rsidRDefault="006568C0" w:rsidP="00756CDF">
      <w:pPr>
        <w:spacing w:line="480" w:lineRule="auto"/>
        <w:rPr>
          <w:rFonts w:ascii="Times New Roman" w:hAnsi="Times New Roman" w:cs="Times New Roman"/>
          <w:sz w:val="24"/>
          <w:szCs w:val="24"/>
        </w:rPr>
      </w:pPr>
    </w:p>
    <w:p w:rsidR="006568C0" w:rsidRPr="00B30861" w:rsidRDefault="006568C0" w:rsidP="00C346C4">
      <w:pPr>
        <w:spacing w:line="480" w:lineRule="auto"/>
        <w:jc w:val="center"/>
        <w:rPr>
          <w:rFonts w:ascii="Times New Roman" w:hAnsi="Times New Roman" w:cs="Times New Roman"/>
          <w:sz w:val="24"/>
          <w:szCs w:val="24"/>
        </w:rPr>
      </w:pPr>
    </w:p>
    <w:p w:rsidR="006568C0" w:rsidRPr="00B30861" w:rsidRDefault="006568C0" w:rsidP="00C346C4">
      <w:pPr>
        <w:spacing w:line="480" w:lineRule="auto"/>
        <w:jc w:val="center"/>
        <w:rPr>
          <w:rFonts w:ascii="Times New Roman" w:hAnsi="Times New Roman" w:cs="Times New Roman"/>
          <w:sz w:val="24"/>
          <w:szCs w:val="24"/>
        </w:rPr>
      </w:pPr>
    </w:p>
    <w:p w:rsidR="006568C0" w:rsidRPr="00B30861" w:rsidRDefault="006568C0" w:rsidP="00C346C4">
      <w:pPr>
        <w:spacing w:line="480" w:lineRule="auto"/>
        <w:jc w:val="center"/>
        <w:rPr>
          <w:rFonts w:ascii="Times New Roman" w:hAnsi="Times New Roman" w:cs="Times New Roman"/>
          <w:sz w:val="24"/>
          <w:szCs w:val="24"/>
        </w:rPr>
      </w:pPr>
    </w:p>
    <w:p w:rsidR="006568C0" w:rsidRPr="00B30861" w:rsidRDefault="006568C0" w:rsidP="00C346C4">
      <w:pPr>
        <w:spacing w:line="480" w:lineRule="auto"/>
        <w:jc w:val="center"/>
        <w:rPr>
          <w:rFonts w:ascii="Times New Roman" w:hAnsi="Times New Roman" w:cs="Times New Roman"/>
          <w:sz w:val="24"/>
          <w:szCs w:val="24"/>
        </w:rPr>
      </w:pPr>
    </w:p>
    <w:p w:rsidR="006568C0" w:rsidRPr="00B30861" w:rsidRDefault="006568C0" w:rsidP="00C346C4">
      <w:pPr>
        <w:spacing w:line="480" w:lineRule="auto"/>
        <w:jc w:val="center"/>
        <w:rPr>
          <w:rFonts w:ascii="Times New Roman" w:hAnsi="Times New Roman" w:cs="Times New Roman"/>
          <w:sz w:val="24"/>
          <w:szCs w:val="24"/>
        </w:rPr>
      </w:pPr>
    </w:p>
    <w:p w:rsidR="00856A3E" w:rsidRPr="00B30861" w:rsidRDefault="004273CB" w:rsidP="00C346C4">
      <w:pPr>
        <w:spacing w:line="480" w:lineRule="auto"/>
        <w:jc w:val="center"/>
        <w:rPr>
          <w:rFonts w:ascii="Times New Roman" w:hAnsi="Times New Roman" w:cs="Times New Roman"/>
          <w:sz w:val="24"/>
          <w:szCs w:val="24"/>
        </w:rPr>
      </w:pPr>
      <w:r w:rsidRPr="00B30861">
        <w:rPr>
          <w:rFonts w:ascii="Times New Roman" w:hAnsi="Times New Roman" w:cs="Times New Roman"/>
          <w:sz w:val="24"/>
          <w:szCs w:val="24"/>
        </w:rPr>
        <w:t>Right to Counsel</w:t>
      </w:r>
    </w:p>
    <w:p w:rsidR="00145AE5" w:rsidRPr="00B30861" w:rsidRDefault="004273CB" w:rsidP="00C346C4">
      <w:pPr>
        <w:spacing w:line="480" w:lineRule="auto"/>
        <w:jc w:val="center"/>
        <w:rPr>
          <w:rFonts w:ascii="Times New Roman" w:hAnsi="Times New Roman" w:cs="Times New Roman"/>
          <w:sz w:val="24"/>
          <w:szCs w:val="24"/>
        </w:rPr>
      </w:pPr>
      <w:r w:rsidRPr="00B30861">
        <w:rPr>
          <w:rFonts w:ascii="Times New Roman" w:hAnsi="Times New Roman" w:cs="Times New Roman"/>
          <w:sz w:val="24"/>
          <w:szCs w:val="24"/>
        </w:rPr>
        <w:t xml:space="preserve">Name </w:t>
      </w:r>
    </w:p>
    <w:p w:rsidR="00145AE5" w:rsidRPr="00B30861" w:rsidRDefault="004273CB" w:rsidP="00C346C4">
      <w:pPr>
        <w:spacing w:line="480" w:lineRule="auto"/>
        <w:jc w:val="center"/>
        <w:rPr>
          <w:rFonts w:ascii="Times New Roman" w:hAnsi="Times New Roman" w:cs="Times New Roman"/>
          <w:sz w:val="24"/>
          <w:szCs w:val="24"/>
        </w:rPr>
      </w:pPr>
      <w:r w:rsidRPr="00B30861">
        <w:rPr>
          <w:rFonts w:ascii="Times New Roman" w:hAnsi="Times New Roman" w:cs="Times New Roman"/>
          <w:sz w:val="24"/>
          <w:szCs w:val="24"/>
        </w:rPr>
        <w:t xml:space="preserve">Institution </w:t>
      </w:r>
    </w:p>
    <w:p w:rsidR="00145AE5" w:rsidRPr="00B30861" w:rsidRDefault="004273CB" w:rsidP="00C346C4">
      <w:pPr>
        <w:spacing w:line="480" w:lineRule="auto"/>
        <w:jc w:val="center"/>
        <w:rPr>
          <w:rFonts w:ascii="Times New Roman" w:hAnsi="Times New Roman" w:cs="Times New Roman"/>
          <w:sz w:val="24"/>
          <w:szCs w:val="24"/>
        </w:rPr>
      </w:pPr>
      <w:r w:rsidRPr="00B30861">
        <w:rPr>
          <w:rFonts w:ascii="Times New Roman" w:hAnsi="Times New Roman" w:cs="Times New Roman"/>
          <w:sz w:val="24"/>
          <w:szCs w:val="24"/>
        </w:rPr>
        <w:t>Date</w:t>
      </w:r>
    </w:p>
    <w:p w:rsidR="00145AE5" w:rsidRPr="00B30861" w:rsidRDefault="00145AE5" w:rsidP="00C346C4">
      <w:pPr>
        <w:spacing w:line="480" w:lineRule="auto"/>
        <w:jc w:val="center"/>
        <w:rPr>
          <w:rFonts w:ascii="Times New Roman" w:hAnsi="Times New Roman" w:cs="Times New Roman"/>
          <w:sz w:val="24"/>
          <w:szCs w:val="24"/>
        </w:rPr>
      </w:pPr>
    </w:p>
    <w:p w:rsidR="00145AE5" w:rsidRDefault="00145AE5" w:rsidP="00C346C4">
      <w:pPr>
        <w:spacing w:line="480" w:lineRule="auto"/>
        <w:jc w:val="center"/>
        <w:rPr>
          <w:rFonts w:ascii="Times New Roman" w:hAnsi="Times New Roman" w:cs="Times New Roman"/>
          <w:sz w:val="24"/>
          <w:szCs w:val="24"/>
        </w:rPr>
      </w:pPr>
    </w:p>
    <w:p w:rsidR="00756CDF" w:rsidRDefault="00756CDF" w:rsidP="00C346C4">
      <w:pPr>
        <w:spacing w:line="480" w:lineRule="auto"/>
        <w:jc w:val="center"/>
        <w:rPr>
          <w:rFonts w:ascii="Times New Roman" w:hAnsi="Times New Roman" w:cs="Times New Roman"/>
          <w:sz w:val="24"/>
          <w:szCs w:val="24"/>
        </w:rPr>
      </w:pPr>
    </w:p>
    <w:p w:rsidR="00756CDF" w:rsidRDefault="00756CDF" w:rsidP="00C346C4">
      <w:pPr>
        <w:spacing w:line="480" w:lineRule="auto"/>
        <w:jc w:val="center"/>
        <w:rPr>
          <w:rFonts w:ascii="Times New Roman" w:hAnsi="Times New Roman" w:cs="Times New Roman"/>
          <w:sz w:val="24"/>
          <w:szCs w:val="24"/>
        </w:rPr>
      </w:pPr>
    </w:p>
    <w:p w:rsidR="00756CDF" w:rsidRDefault="00756CDF" w:rsidP="00C346C4">
      <w:pPr>
        <w:spacing w:line="480" w:lineRule="auto"/>
        <w:jc w:val="center"/>
        <w:rPr>
          <w:rFonts w:ascii="Times New Roman" w:hAnsi="Times New Roman" w:cs="Times New Roman"/>
          <w:sz w:val="24"/>
          <w:szCs w:val="24"/>
        </w:rPr>
      </w:pPr>
    </w:p>
    <w:p w:rsidR="00756CDF" w:rsidRPr="00B30861" w:rsidRDefault="00756CDF" w:rsidP="00C346C4">
      <w:pPr>
        <w:spacing w:line="480" w:lineRule="auto"/>
        <w:jc w:val="center"/>
        <w:rPr>
          <w:rFonts w:ascii="Times New Roman" w:hAnsi="Times New Roman" w:cs="Times New Roman"/>
          <w:sz w:val="24"/>
          <w:szCs w:val="24"/>
        </w:rPr>
      </w:pPr>
    </w:p>
    <w:p w:rsidR="00C346C4" w:rsidRPr="00B30861" w:rsidRDefault="00C346C4" w:rsidP="00C346C4">
      <w:pPr>
        <w:spacing w:line="480" w:lineRule="auto"/>
        <w:jc w:val="center"/>
        <w:rPr>
          <w:rFonts w:ascii="Times New Roman" w:hAnsi="Times New Roman" w:cs="Times New Roman"/>
          <w:sz w:val="24"/>
          <w:szCs w:val="24"/>
        </w:rPr>
      </w:pPr>
    </w:p>
    <w:p w:rsidR="00145AE5" w:rsidRPr="00B30861" w:rsidRDefault="004273CB" w:rsidP="00C346C4">
      <w:pPr>
        <w:spacing w:line="480" w:lineRule="auto"/>
        <w:jc w:val="center"/>
        <w:rPr>
          <w:rFonts w:ascii="Times New Roman" w:hAnsi="Times New Roman" w:cs="Times New Roman"/>
          <w:sz w:val="24"/>
          <w:szCs w:val="24"/>
        </w:rPr>
      </w:pPr>
      <w:r w:rsidRPr="00B30861">
        <w:rPr>
          <w:rFonts w:ascii="Times New Roman" w:hAnsi="Times New Roman" w:cs="Times New Roman"/>
          <w:sz w:val="24"/>
          <w:szCs w:val="24"/>
        </w:rPr>
        <w:lastRenderedPageBreak/>
        <w:t>Right to Counsel</w:t>
      </w:r>
    </w:p>
    <w:p w:rsidR="00FD621D" w:rsidRPr="00B30861" w:rsidRDefault="004273CB" w:rsidP="00C346C4">
      <w:pPr>
        <w:spacing w:line="480" w:lineRule="auto"/>
        <w:jc w:val="center"/>
        <w:rPr>
          <w:rFonts w:ascii="Times New Roman" w:hAnsi="Times New Roman" w:cs="Times New Roman"/>
          <w:b/>
          <w:sz w:val="24"/>
          <w:szCs w:val="24"/>
        </w:rPr>
      </w:pPr>
      <w:r w:rsidRPr="00B30861">
        <w:rPr>
          <w:rFonts w:ascii="Times New Roman" w:hAnsi="Times New Roman" w:cs="Times New Roman"/>
          <w:b/>
          <w:sz w:val="24"/>
          <w:szCs w:val="24"/>
        </w:rPr>
        <w:t xml:space="preserve">Introduction </w:t>
      </w:r>
    </w:p>
    <w:p w:rsidR="00FD621D" w:rsidRPr="00B30861" w:rsidRDefault="00EA6EFC" w:rsidP="00C346C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w:t>
      </w:r>
      <w:r w:rsidR="004273CB" w:rsidRPr="00B30861">
        <w:rPr>
          <w:rFonts w:ascii="Times New Roman" w:hAnsi="Times New Roman" w:cs="Times New Roman"/>
          <w:sz w:val="24"/>
          <w:szCs w:val="24"/>
        </w:rPr>
        <w:t>ight to counsel is guaranteed in the 6</w:t>
      </w:r>
      <w:r w:rsidR="004273CB" w:rsidRPr="00B30861">
        <w:rPr>
          <w:rFonts w:ascii="Times New Roman" w:hAnsi="Times New Roman" w:cs="Times New Roman"/>
          <w:sz w:val="24"/>
          <w:szCs w:val="24"/>
          <w:vertAlign w:val="superscript"/>
        </w:rPr>
        <w:t>th</w:t>
      </w:r>
      <w:r w:rsidR="004273CB" w:rsidRPr="00B30861">
        <w:rPr>
          <w:rFonts w:ascii="Times New Roman" w:hAnsi="Times New Roman" w:cs="Times New Roman"/>
          <w:sz w:val="24"/>
          <w:szCs w:val="24"/>
        </w:rPr>
        <w:t xml:space="preserve"> Amendment of the U.S constitution.</w:t>
      </w:r>
      <w:r>
        <w:rPr>
          <w:rFonts w:ascii="Times New Roman" w:hAnsi="Times New Roman" w:cs="Times New Roman"/>
          <w:sz w:val="24"/>
          <w:szCs w:val="24"/>
        </w:rPr>
        <w:t xml:space="preserve"> The propositions of the above right suggest </w:t>
      </w:r>
      <w:r w:rsidR="004273CB" w:rsidRPr="00B30861">
        <w:rPr>
          <w:rFonts w:ascii="Times New Roman" w:hAnsi="Times New Roman" w:cs="Times New Roman"/>
          <w:sz w:val="24"/>
          <w:szCs w:val="24"/>
        </w:rPr>
        <w:t xml:space="preserve">that the accused should be provided with a speedy and public trial by the impartial </w:t>
      </w:r>
      <w:r w:rsidR="00FC1B63" w:rsidRPr="00B30861">
        <w:rPr>
          <w:rFonts w:ascii="Times New Roman" w:hAnsi="Times New Roman" w:cs="Times New Roman"/>
          <w:sz w:val="24"/>
          <w:szCs w:val="24"/>
        </w:rPr>
        <w:t xml:space="preserve">jury in the </w:t>
      </w:r>
      <w:r w:rsidR="004273CB" w:rsidRPr="00B30861">
        <w:rPr>
          <w:rFonts w:ascii="Times New Roman" w:hAnsi="Times New Roman" w:cs="Times New Roman"/>
          <w:sz w:val="24"/>
          <w:szCs w:val="24"/>
        </w:rPr>
        <w:t>district and state</w:t>
      </w:r>
      <w:r w:rsidR="00FC1B63" w:rsidRPr="00B30861">
        <w:rPr>
          <w:rFonts w:ascii="Times New Roman" w:hAnsi="Times New Roman" w:cs="Times New Roman"/>
          <w:sz w:val="24"/>
          <w:szCs w:val="24"/>
        </w:rPr>
        <w:t xml:space="preserve">’s court across </w:t>
      </w:r>
      <w:r w:rsidR="004273CB" w:rsidRPr="00B30861">
        <w:rPr>
          <w:rFonts w:ascii="Times New Roman" w:hAnsi="Times New Roman" w:cs="Times New Roman"/>
          <w:sz w:val="24"/>
          <w:szCs w:val="24"/>
        </w:rPr>
        <w:t xml:space="preserve">all prosecutions. </w:t>
      </w:r>
      <w:r w:rsidR="004B1B00" w:rsidRPr="00B30861">
        <w:rPr>
          <w:rFonts w:ascii="Times New Roman" w:hAnsi="Times New Roman" w:cs="Times New Roman"/>
          <w:sz w:val="24"/>
          <w:szCs w:val="24"/>
        </w:rPr>
        <w:t xml:space="preserve">Furthermore, the accused </w:t>
      </w:r>
      <w:r w:rsidR="004273CB" w:rsidRPr="00B30861">
        <w:rPr>
          <w:rFonts w:ascii="Times New Roman" w:hAnsi="Times New Roman" w:cs="Times New Roman"/>
          <w:sz w:val="24"/>
          <w:szCs w:val="24"/>
        </w:rPr>
        <w:t xml:space="preserve">has the right to be provided with full information regarding the </w:t>
      </w:r>
      <w:r w:rsidR="003A3E51" w:rsidRPr="00B30861">
        <w:rPr>
          <w:rFonts w:ascii="Times New Roman" w:hAnsi="Times New Roman" w:cs="Times New Roman"/>
          <w:sz w:val="24"/>
          <w:szCs w:val="24"/>
        </w:rPr>
        <w:t>crime committed, det</w:t>
      </w:r>
      <w:r w:rsidR="001960B1" w:rsidRPr="00B30861">
        <w:rPr>
          <w:rFonts w:ascii="Times New Roman" w:hAnsi="Times New Roman" w:cs="Times New Roman"/>
          <w:sz w:val="24"/>
          <w:szCs w:val="24"/>
        </w:rPr>
        <w:t>ails of</w:t>
      </w:r>
      <w:r w:rsidR="003A3E51" w:rsidRPr="00B30861">
        <w:rPr>
          <w:rFonts w:ascii="Times New Roman" w:hAnsi="Times New Roman" w:cs="Times New Roman"/>
          <w:sz w:val="24"/>
          <w:szCs w:val="24"/>
        </w:rPr>
        <w:t xml:space="preserve"> the victim, nature</w:t>
      </w:r>
      <w:r w:rsidR="001960B1" w:rsidRPr="00B30861">
        <w:rPr>
          <w:rFonts w:ascii="Times New Roman" w:hAnsi="Times New Roman" w:cs="Times New Roman"/>
          <w:sz w:val="24"/>
          <w:szCs w:val="24"/>
        </w:rPr>
        <w:t>, and cause of accusations. The Right of C</w:t>
      </w:r>
      <w:r w:rsidR="003A3E51" w:rsidRPr="00B30861">
        <w:rPr>
          <w:rFonts w:ascii="Times New Roman" w:hAnsi="Times New Roman" w:cs="Times New Roman"/>
          <w:sz w:val="24"/>
          <w:szCs w:val="24"/>
        </w:rPr>
        <w:t>ounsel reveals that</w:t>
      </w:r>
      <w:r w:rsidR="004B1B00" w:rsidRPr="00B30861">
        <w:rPr>
          <w:rFonts w:ascii="Times New Roman" w:hAnsi="Times New Roman" w:cs="Times New Roman"/>
          <w:sz w:val="24"/>
          <w:szCs w:val="24"/>
        </w:rPr>
        <w:t xml:space="preserve"> the accused has the right to be confronted by witnesses </w:t>
      </w:r>
      <w:r w:rsidR="00E260FD" w:rsidRPr="00B30861">
        <w:rPr>
          <w:rFonts w:ascii="Times New Roman" w:hAnsi="Times New Roman" w:cs="Times New Roman"/>
          <w:sz w:val="24"/>
          <w:szCs w:val="24"/>
        </w:rPr>
        <w:t xml:space="preserve">and to have the Council's Assistance for their defense. It is worth noting that the accused has the Right to </w:t>
      </w:r>
      <w:r w:rsidR="001960B1" w:rsidRPr="00B30861">
        <w:rPr>
          <w:rFonts w:ascii="Times New Roman" w:hAnsi="Times New Roman" w:cs="Times New Roman"/>
          <w:sz w:val="24"/>
          <w:szCs w:val="24"/>
        </w:rPr>
        <w:t xml:space="preserve">be informed about the details of witnesses who will testify against him. </w:t>
      </w:r>
    </w:p>
    <w:p w:rsidR="00856A3E" w:rsidRPr="00B30861" w:rsidRDefault="004273CB" w:rsidP="00C346C4">
      <w:pPr>
        <w:spacing w:line="480" w:lineRule="auto"/>
        <w:ind w:firstLine="720"/>
        <w:jc w:val="center"/>
        <w:rPr>
          <w:rFonts w:ascii="Times New Roman" w:hAnsi="Times New Roman" w:cs="Times New Roman"/>
          <w:b/>
          <w:sz w:val="24"/>
          <w:szCs w:val="24"/>
        </w:rPr>
      </w:pPr>
      <w:r w:rsidRPr="00B30861">
        <w:rPr>
          <w:rFonts w:ascii="Times New Roman" w:hAnsi="Times New Roman" w:cs="Times New Roman"/>
          <w:b/>
          <w:sz w:val="24"/>
          <w:szCs w:val="24"/>
        </w:rPr>
        <w:t>Discussion</w:t>
      </w:r>
    </w:p>
    <w:p w:rsidR="00094489" w:rsidRPr="00B30861" w:rsidRDefault="004273CB" w:rsidP="00C346C4">
      <w:pPr>
        <w:spacing w:line="480" w:lineRule="auto"/>
        <w:ind w:firstLine="720"/>
        <w:rPr>
          <w:rFonts w:ascii="Times New Roman" w:hAnsi="Times New Roman" w:cs="Times New Roman"/>
          <w:sz w:val="24"/>
          <w:szCs w:val="24"/>
        </w:rPr>
      </w:pPr>
      <w:r w:rsidRPr="00B30861">
        <w:rPr>
          <w:rFonts w:ascii="Times New Roman" w:hAnsi="Times New Roman" w:cs="Times New Roman"/>
          <w:sz w:val="24"/>
          <w:szCs w:val="24"/>
        </w:rPr>
        <w:t>The R</w:t>
      </w:r>
      <w:r w:rsidR="00E260FD" w:rsidRPr="00B30861">
        <w:rPr>
          <w:rFonts w:ascii="Times New Roman" w:hAnsi="Times New Roman" w:cs="Times New Roman"/>
          <w:sz w:val="24"/>
          <w:szCs w:val="24"/>
        </w:rPr>
        <w:t>ight has never been seriously questioned in terms of applicability at the federal level. Still, because of differing opinio</w:t>
      </w:r>
      <w:r w:rsidR="00B30861" w:rsidRPr="00B30861">
        <w:rPr>
          <w:rFonts w:ascii="Times New Roman" w:hAnsi="Times New Roman" w:cs="Times New Roman"/>
          <w:sz w:val="24"/>
          <w:szCs w:val="24"/>
        </w:rPr>
        <w:t>ns regarding i</w:t>
      </w:r>
      <w:r w:rsidR="001372EC" w:rsidRPr="00B30861">
        <w:rPr>
          <w:rFonts w:ascii="Times New Roman" w:hAnsi="Times New Roman" w:cs="Times New Roman"/>
          <w:sz w:val="24"/>
          <w:szCs w:val="24"/>
        </w:rPr>
        <w:t>ncorporation, it</w:t>
      </w:r>
      <w:r w:rsidR="00E260FD" w:rsidRPr="00B30861">
        <w:rPr>
          <w:rFonts w:ascii="Times New Roman" w:hAnsi="Times New Roman" w:cs="Times New Roman"/>
          <w:sz w:val="24"/>
          <w:szCs w:val="24"/>
        </w:rPr>
        <w:t xml:space="preserve"> has not always been recognized at the state level</w:t>
      </w:r>
      <w:r w:rsidR="00B30861">
        <w:rPr>
          <w:rFonts w:ascii="Times New Roman" w:hAnsi="Times New Roman" w:cs="Times New Roman"/>
          <w:sz w:val="24"/>
          <w:szCs w:val="24"/>
        </w:rPr>
        <w:t xml:space="preserve"> (</w:t>
      </w:r>
      <w:r w:rsidR="00B30861">
        <w:rPr>
          <w:rFonts w:ascii="Times New Roman" w:hAnsi="Times New Roman" w:cs="Times New Roman"/>
          <w:color w:val="222222"/>
          <w:sz w:val="24"/>
          <w:szCs w:val="24"/>
          <w:shd w:val="clear" w:color="auto" w:fill="FFFFFF"/>
        </w:rPr>
        <w:t xml:space="preserve">Backus &amp; Marcus, </w:t>
      </w:r>
      <w:r w:rsidR="00B30861" w:rsidRPr="00B30861">
        <w:rPr>
          <w:rFonts w:ascii="Times New Roman" w:hAnsi="Times New Roman" w:cs="Times New Roman"/>
          <w:color w:val="222222"/>
          <w:sz w:val="24"/>
          <w:szCs w:val="24"/>
          <w:shd w:val="clear" w:color="auto" w:fill="FFFFFF"/>
        </w:rPr>
        <w:t>2015)</w:t>
      </w:r>
      <w:r w:rsidR="00E260FD" w:rsidRPr="00B30861">
        <w:rPr>
          <w:rFonts w:ascii="Times New Roman" w:hAnsi="Times New Roman" w:cs="Times New Roman"/>
          <w:sz w:val="24"/>
          <w:szCs w:val="24"/>
        </w:rPr>
        <w:t>.</w:t>
      </w:r>
      <w:r w:rsidR="001372EC" w:rsidRPr="00B30861">
        <w:rPr>
          <w:rFonts w:ascii="Times New Roman" w:hAnsi="Times New Roman" w:cs="Times New Roman"/>
          <w:sz w:val="24"/>
          <w:szCs w:val="24"/>
        </w:rPr>
        <w:t xml:space="preserve"> Differently, the previous arguments have revealed that the Right to Counsel has been made applicable at the state level with the aid of the 14</w:t>
      </w:r>
      <w:r w:rsidR="001372EC" w:rsidRPr="00B30861">
        <w:rPr>
          <w:rFonts w:ascii="Times New Roman" w:hAnsi="Times New Roman" w:cs="Times New Roman"/>
          <w:sz w:val="24"/>
          <w:szCs w:val="24"/>
          <w:vertAlign w:val="superscript"/>
        </w:rPr>
        <w:t>th</w:t>
      </w:r>
      <w:r w:rsidR="001372EC" w:rsidRPr="00B30861">
        <w:rPr>
          <w:rFonts w:ascii="Times New Roman" w:hAnsi="Times New Roman" w:cs="Times New Roman"/>
          <w:sz w:val="24"/>
          <w:szCs w:val="24"/>
        </w:rPr>
        <w:t xml:space="preserve"> Amendment. The applicability of</w:t>
      </w:r>
      <w:r w:rsidRPr="00B30861">
        <w:rPr>
          <w:rFonts w:ascii="Times New Roman" w:hAnsi="Times New Roman" w:cs="Times New Roman"/>
          <w:sz w:val="24"/>
          <w:szCs w:val="24"/>
        </w:rPr>
        <w:t xml:space="preserve"> the Rights of the C</w:t>
      </w:r>
      <w:r w:rsidR="001372EC" w:rsidRPr="00B30861">
        <w:rPr>
          <w:rFonts w:ascii="Times New Roman" w:hAnsi="Times New Roman" w:cs="Times New Roman"/>
          <w:sz w:val="24"/>
          <w:szCs w:val="24"/>
        </w:rPr>
        <w:t>ounsel is evidenced in Section 1 that all persons born or naturalized in the United States, and subject to the jurisdiction, are citizens of the United Sta</w:t>
      </w:r>
      <w:r w:rsidR="00BE3F7E" w:rsidRPr="00B30861">
        <w:rPr>
          <w:rFonts w:ascii="Times New Roman" w:hAnsi="Times New Roman" w:cs="Times New Roman"/>
          <w:sz w:val="24"/>
          <w:szCs w:val="24"/>
        </w:rPr>
        <w:t>tes and more</w:t>
      </w:r>
      <w:r w:rsidR="00EA6EFC">
        <w:rPr>
          <w:rFonts w:ascii="Times New Roman" w:hAnsi="Times New Roman" w:cs="Times New Roman"/>
          <w:sz w:val="24"/>
          <w:szCs w:val="24"/>
        </w:rPr>
        <w:t xml:space="preserve"> </w:t>
      </w:r>
      <w:r w:rsidRPr="00B30861">
        <w:rPr>
          <w:rFonts w:ascii="Times New Roman" w:hAnsi="Times New Roman" w:cs="Times New Roman"/>
          <w:sz w:val="24"/>
          <w:szCs w:val="24"/>
        </w:rPr>
        <w:t>so</w:t>
      </w:r>
      <w:r w:rsidR="00BE3F7E" w:rsidRPr="00B30861">
        <w:rPr>
          <w:rFonts w:ascii="Times New Roman" w:hAnsi="Times New Roman" w:cs="Times New Roman"/>
          <w:sz w:val="24"/>
          <w:szCs w:val="24"/>
        </w:rPr>
        <w:t xml:space="preserve"> the state where they abode</w:t>
      </w:r>
      <w:r w:rsidR="00EA6EFC">
        <w:rPr>
          <w:rFonts w:ascii="Times New Roman" w:hAnsi="Times New Roman" w:cs="Times New Roman"/>
          <w:sz w:val="24"/>
          <w:szCs w:val="24"/>
        </w:rPr>
        <w:t xml:space="preserve"> </w:t>
      </w:r>
      <w:r w:rsidR="00B30861">
        <w:rPr>
          <w:rFonts w:ascii="Times New Roman" w:hAnsi="Times New Roman" w:cs="Times New Roman"/>
          <w:sz w:val="24"/>
          <w:szCs w:val="24"/>
        </w:rPr>
        <w:t>(</w:t>
      </w:r>
      <w:r w:rsidR="00B30861">
        <w:rPr>
          <w:rFonts w:ascii="Times New Roman" w:hAnsi="Times New Roman" w:cs="Times New Roman"/>
          <w:color w:val="222222"/>
          <w:sz w:val="24"/>
          <w:szCs w:val="24"/>
          <w:shd w:val="clear" w:color="auto" w:fill="FFFFFF"/>
        </w:rPr>
        <w:t xml:space="preserve">Backus &amp; Marcus, </w:t>
      </w:r>
      <w:r w:rsidR="00B30861" w:rsidRPr="00B30861">
        <w:rPr>
          <w:rFonts w:ascii="Times New Roman" w:hAnsi="Times New Roman" w:cs="Times New Roman"/>
          <w:color w:val="222222"/>
          <w:sz w:val="24"/>
          <w:szCs w:val="24"/>
          <w:shd w:val="clear" w:color="auto" w:fill="FFFFFF"/>
        </w:rPr>
        <w:t>2015)</w:t>
      </w:r>
      <w:r w:rsidR="00BE3F7E" w:rsidRPr="00B30861">
        <w:rPr>
          <w:rFonts w:ascii="Times New Roman" w:hAnsi="Times New Roman" w:cs="Times New Roman"/>
          <w:sz w:val="24"/>
          <w:szCs w:val="24"/>
        </w:rPr>
        <w:t>.  The prov</w:t>
      </w:r>
      <w:r w:rsidR="00EA6EFC">
        <w:rPr>
          <w:rFonts w:ascii="Times New Roman" w:hAnsi="Times New Roman" w:cs="Times New Roman"/>
          <w:sz w:val="24"/>
          <w:szCs w:val="24"/>
        </w:rPr>
        <w:t>isions of Section 1 further bar s</w:t>
      </w:r>
      <w:r w:rsidR="00BE3F7E" w:rsidRPr="00B30861">
        <w:rPr>
          <w:rFonts w:ascii="Times New Roman" w:hAnsi="Times New Roman" w:cs="Times New Roman"/>
          <w:sz w:val="24"/>
          <w:szCs w:val="24"/>
        </w:rPr>
        <w:t>tates from formulating rules that might infringe on the rights of citizens.</w:t>
      </w:r>
      <w:r w:rsidR="00AB5C4D" w:rsidRPr="00B30861">
        <w:rPr>
          <w:rFonts w:ascii="Times New Roman" w:hAnsi="Times New Roman" w:cs="Times New Roman"/>
          <w:sz w:val="24"/>
          <w:szCs w:val="24"/>
        </w:rPr>
        <w:t xml:space="preserve"> Besides, the section aids in the discouraging formulation of laws that deprives</w:t>
      </w:r>
      <w:r w:rsidRPr="00B30861">
        <w:rPr>
          <w:rFonts w:ascii="Times New Roman" w:hAnsi="Times New Roman" w:cs="Times New Roman"/>
          <w:sz w:val="24"/>
          <w:szCs w:val="24"/>
        </w:rPr>
        <w:t xml:space="preserve"> citizens' rights from their dignity, property, and liberty. </w:t>
      </w:r>
    </w:p>
    <w:p w:rsidR="00E5796F" w:rsidRPr="00B30861" w:rsidRDefault="004273CB" w:rsidP="00C346C4">
      <w:pPr>
        <w:spacing w:line="480" w:lineRule="auto"/>
        <w:ind w:firstLine="720"/>
        <w:rPr>
          <w:rFonts w:ascii="Times New Roman" w:hAnsi="Times New Roman" w:cs="Times New Roman"/>
          <w:sz w:val="24"/>
          <w:szCs w:val="24"/>
        </w:rPr>
      </w:pPr>
      <w:r w:rsidRPr="00B30861">
        <w:rPr>
          <w:rFonts w:ascii="Times New Roman" w:hAnsi="Times New Roman" w:cs="Times New Roman"/>
          <w:sz w:val="24"/>
          <w:szCs w:val="24"/>
        </w:rPr>
        <w:lastRenderedPageBreak/>
        <w:t xml:space="preserve">Based on the provisions of previous cases, there has been a series of challenges </w:t>
      </w:r>
      <w:r w:rsidR="001960B1" w:rsidRPr="00B30861">
        <w:rPr>
          <w:rFonts w:ascii="Times New Roman" w:hAnsi="Times New Roman" w:cs="Times New Roman"/>
          <w:sz w:val="24"/>
          <w:szCs w:val="24"/>
        </w:rPr>
        <w:t xml:space="preserve">making it an obstacle </w:t>
      </w:r>
      <w:r w:rsidRPr="00B30861">
        <w:rPr>
          <w:rFonts w:ascii="Times New Roman" w:hAnsi="Times New Roman" w:cs="Times New Roman"/>
          <w:sz w:val="24"/>
          <w:szCs w:val="24"/>
        </w:rPr>
        <w:t>to recognize the Right to Council at the state level. As such, this discussion will outline three cases that will be used to describe the challenges faced in an effort to recognize the Right to counse</w:t>
      </w:r>
      <w:r w:rsidR="00EA6EFC">
        <w:rPr>
          <w:rFonts w:ascii="Times New Roman" w:hAnsi="Times New Roman" w:cs="Times New Roman"/>
          <w:sz w:val="24"/>
          <w:szCs w:val="24"/>
        </w:rPr>
        <w:t xml:space="preserve"> </w:t>
      </w:r>
      <w:r w:rsidRPr="00B30861">
        <w:rPr>
          <w:rFonts w:ascii="Times New Roman" w:hAnsi="Times New Roman" w:cs="Times New Roman"/>
          <w:sz w:val="24"/>
          <w:szCs w:val="24"/>
        </w:rPr>
        <w:t>l</w:t>
      </w:r>
      <w:r w:rsidR="00B30861">
        <w:rPr>
          <w:rFonts w:ascii="Times New Roman" w:hAnsi="Times New Roman" w:cs="Times New Roman"/>
          <w:sz w:val="24"/>
          <w:szCs w:val="24"/>
        </w:rPr>
        <w:t>(</w:t>
      </w:r>
      <w:r w:rsidR="00B30861">
        <w:rPr>
          <w:rFonts w:ascii="Times New Roman" w:hAnsi="Times New Roman" w:cs="Times New Roman"/>
          <w:color w:val="222222"/>
          <w:sz w:val="24"/>
          <w:szCs w:val="24"/>
          <w:shd w:val="clear" w:color="auto" w:fill="FFFFFF"/>
        </w:rPr>
        <w:t xml:space="preserve">Backus &amp; Marcus, </w:t>
      </w:r>
      <w:r w:rsidR="00B30861" w:rsidRPr="00B30861">
        <w:rPr>
          <w:rFonts w:ascii="Times New Roman" w:hAnsi="Times New Roman" w:cs="Times New Roman"/>
          <w:color w:val="222222"/>
          <w:sz w:val="24"/>
          <w:szCs w:val="24"/>
          <w:shd w:val="clear" w:color="auto" w:fill="FFFFFF"/>
        </w:rPr>
        <w:t>2015)</w:t>
      </w:r>
      <w:r w:rsidRPr="00B30861">
        <w:rPr>
          <w:rFonts w:ascii="Times New Roman" w:hAnsi="Times New Roman" w:cs="Times New Roman"/>
          <w:sz w:val="24"/>
          <w:szCs w:val="24"/>
        </w:rPr>
        <w:t xml:space="preserve">. </w:t>
      </w:r>
      <w:r w:rsidR="00543FBD" w:rsidRPr="00B30861">
        <w:rPr>
          <w:rFonts w:ascii="Times New Roman" w:hAnsi="Times New Roman" w:cs="Times New Roman"/>
          <w:sz w:val="24"/>
          <w:szCs w:val="24"/>
        </w:rPr>
        <w:t xml:space="preserve"> The first case is that of </w:t>
      </w:r>
      <w:r w:rsidR="00543FBD" w:rsidRPr="00B30861">
        <w:rPr>
          <w:rFonts w:ascii="Times New Roman" w:hAnsi="Times New Roman" w:cs="Times New Roman"/>
          <w:i/>
          <w:sz w:val="24"/>
          <w:szCs w:val="24"/>
          <w:u w:val="single"/>
        </w:rPr>
        <w:t>Powell v. Alabama</w:t>
      </w:r>
      <w:r w:rsidR="00543FBD" w:rsidRPr="00B30861">
        <w:rPr>
          <w:rFonts w:ascii="Times New Roman" w:hAnsi="Times New Roman" w:cs="Times New Roman"/>
          <w:i/>
          <w:sz w:val="24"/>
          <w:szCs w:val="24"/>
        </w:rPr>
        <w:t xml:space="preserve"> (1932)</w:t>
      </w:r>
      <w:r w:rsidRPr="00B30861">
        <w:rPr>
          <w:rFonts w:ascii="Times New Roman" w:hAnsi="Times New Roman" w:cs="Times New Roman"/>
          <w:sz w:val="24"/>
          <w:szCs w:val="24"/>
        </w:rPr>
        <w:t xml:space="preserve">, which is applied to ascertain whether the denial of legal counsel </w:t>
      </w:r>
      <w:r w:rsidR="00EA6EFC" w:rsidRPr="00B30861">
        <w:rPr>
          <w:rFonts w:ascii="Times New Roman" w:hAnsi="Times New Roman" w:cs="Times New Roman"/>
          <w:sz w:val="24"/>
          <w:szCs w:val="24"/>
        </w:rPr>
        <w:t>in a capital case amount</w:t>
      </w:r>
      <w:r w:rsidRPr="00B30861">
        <w:rPr>
          <w:rFonts w:ascii="Times New Roman" w:hAnsi="Times New Roman" w:cs="Times New Roman"/>
          <w:sz w:val="24"/>
          <w:szCs w:val="24"/>
        </w:rPr>
        <w:t xml:space="preserve"> to a viol</w:t>
      </w:r>
      <w:r w:rsidR="001960B1" w:rsidRPr="00B30861">
        <w:rPr>
          <w:rFonts w:ascii="Times New Roman" w:hAnsi="Times New Roman" w:cs="Times New Roman"/>
          <w:sz w:val="24"/>
          <w:szCs w:val="24"/>
        </w:rPr>
        <w:t>ation of due process as guaranteed in</w:t>
      </w:r>
      <w:r w:rsidRPr="00B30861">
        <w:rPr>
          <w:rFonts w:ascii="Times New Roman" w:hAnsi="Times New Roman" w:cs="Times New Roman"/>
          <w:sz w:val="24"/>
          <w:szCs w:val="24"/>
        </w:rPr>
        <w:t xml:space="preserve"> the 14th Amendment.  The answer which was provided by the court was "Yes."  </w:t>
      </w:r>
    </w:p>
    <w:p w:rsidR="00E260FD" w:rsidRPr="00B30861" w:rsidRDefault="004273CB" w:rsidP="00C346C4">
      <w:pPr>
        <w:spacing w:line="480" w:lineRule="auto"/>
        <w:ind w:firstLine="720"/>
        <w:rPr>
          <w:rFonts w:ascii="Times New Roman" w:hAnsi="Times New Roman" w:cs="Times New Roman"/>
          <w:sz w:val="24"/>
          <w:szCs w:val="24"/>
        </w:rPr>
      </w:pPr>
      <w:r w:rsidRPr="00B30861">
        <w:rPr>
          <w:rFonts w:ascii="Times New Roman" w:hAnsi="Times New Roman" w:cs="Times New Roman"/>
          <w:sz w:val="24"/>
          <w:szCs w:val="24"/>
        </w:rPr>
        <w:t xml:space="preserve">The second case to be analyzed is </w:t>
      </w:r>
      <w:r w:rsidRPr="00B30861">
        <w:rPr>
          <w:rFonts w:ascii="Times New Roman" w:hAnsi="Times New Roman" w:cs="Times New Roman"/>
          <w:i/>
          <w:sz w:val="24"/>
          <w:szCs w:val="24"/>
          <w:u w:val="single"/>
        </w:rPr>
        <w:t>Gideon v. Wainwright</w:t>
      </w:r>
      <w:r w:rsidRPr="00B30861">
        <w:rPr>
          <w:rFonts w:ascii="Times New Roman" w:hAnsi="Times New Roman" w:cs="Times New Roman"/>
          <w:sz w:val="24"/>
          <w:szCs w:val="24"/>
        </w:rPr>
        <w:t xml:space="preserve"> (1963). </w:t>
      </w:r>
      <w:r w:rsidR="001960B1" w:rsidRPr="00B30861">
        <w:rPr>
          <w:rFonts w:ascii="Times New Roman" w:hAnsi="Times New Roman" w:cs="Times New Roman"/>
          <w:sz w:val="24"/>
          <w:szCs w:val="24"/>
        </w:rPr>
        <w:t xml:space="preserve">The question to this case law </w:t>
      </w:r>
      <w:r w:rsidRPr="00B30861">
        <w:rPr>
          <w:rFonts w:ascii="Times New Roman" w:hAnsi="Times New Roman" w:cs="Times New Roman"/>
          <w:sz w:val="24"/>
          <w:szCs w:val="24"/>
        </w:rPr>
        <w:t>is used to illustrate whether</w:t>
      </w:r>
      <w:r w:rsidR="00070A2A" w:rsidRPr="00B30861">
        <w:rPr>
          <w:rFonts w:ascii="Times New Roman" w:hAnsi="Times New Roman" w:cs="Times New Roman"/>
          <w:sz w:val="24"/>
          <w:szCs w:val="24"/>
        </w:rPr>
        <w:t xml:space="preserve"> the Right to Counsel needs to be appointed in the state's felony cases to represent a defendant of which the court found I was necessary</w:t>
      </w:r>
      <w:r w:rsidR="00B30861">
        <w:rPr>
          <w:rFonts w:ascii="Times New Roman" w:hAnsi="Times New Roman" w:cs="Times New Roman"/>
          <w:sz w:val="24"/>
          <w:szCs w:val="24"/>
        </w:rPr>
        <w:t>(</w:t>
      </w:r>
      <w:r w:rsidR="00B30861">
        <w:rPr>
          <w:rFonts w:ascii="Times New Roman" w:hAnsi="Times New Roman" w:cs="Times New Roman"/>
          <w:color w:val="222222"/>
          <w:sz w:val="24"/>
          <w:szCs w:val="24"/>
          <w:shd w:val="clear" w:color="auto" w:fill="FFFFFF"/>
        </w:rPr>
        <w:t xml:space="preserve">Backus &amp; Marcus, </w:t>
      </w:r>
      <w:r w:rsidR="00B30861" w:rsidRPr="00B30861">
        <w:rPr>
          <w:rFonts w:ascii="Times New Roman" w:hAnsi="Times New Roman" w:cs="Times New Roman"/>
          <w:color w:val="222222"/>
          <w:sz w:val="24"/>
          <w:szCs w:val="24"/>
          <w:shd w:val="clear" w:color="auto" w:fill="FFFFFF"/>
        </w:rPr>
        <w:t>2015)</w:t>
      </w:r>
      <w:r w:rsidR="00070A2A" w:rsidRPr="00B30861">
        <w:rPr>
          <w:rFonts w:ascii="Times New Roman" w:hAnsi="Times New Roman" w:cs="Times New Roman"/>
          <w:sz w:val="24"/>
          <w:szCs w:val="24"/>
        </w:rPr>
        <w:t xml:space="preserve">. </w:t>
      </w:r>
      <w:r w:rsidR="004C7447" w:rsidRPr="00B30861">
        <w:rPr>
          <w:rFonts w:ascii="Times New Roman" w:hAnsi="Times New Roman" w:cs="Times New Roman"/>
          <w:i/>
          <w:sz w:val="24"/>
          <w:szCs w:val="24"/>
          <w:u w:val="single"/>
        </w:rPr>
        <w:t>Argersinger v. Hamlin</w:t>
      </w:r>
      <w:r w:rsidR="004C7447" w:rsidRPr="00B30861">
        <w:rPr>
          <w:rFonts w:ascii="Times New Roman" w:hAnsi="Times New Roman" w:cs="Times New Roman"/>
          <w:sz w:val="24"/>
          <w:szCs w:val="24"/>
        </w:rPr>
        <w:t xml:space="preserve"> (1972) is yet another case </w:t>
      </w:r>
      <w:r w:rsidR="00A16C04" w:rsidRPr="00B30861">
        <w:rPr>
          <w:rFonts w:ascii="Times New Roman" w:hAnsi="Times New Roman" w:cs="Times New Roman"/>
          <w:sz w:val="24"/>
          <w:szCs w:val="24"/>
        </w:rPr>
        <w:t xml:space="preserve">that is applied to explain whether the accused can be subjected to the actual imprisonment without being provided with the Right to Counsel.  </w:t>
      </w:r>
      <w:r w:rsidR="00A16C04" w:rsidRPr="00B30861">
        <w:rPr>
          <w:rFonts w:ascii="Times New Roman" w:hAnsi="Times New Roman" w:cs="Times New Roman"/>
          <w:color w:val="222222"/>
          <w:sz w:val="24"/>
          <w:szCs w:val="24"/>
          <w:shd w:val="clear" w:color="auto" w:fill="FFFFFF"/>
        </w:rPr>
        <w:t>Gideon v. Wainwright opined that the</w:t>
      </w:r>
      <w:r w:rsidR="00145AE5" w:rsidRPr="00B30861">
        <w:rPr>
          <w:rFonts w:ascii="Times New Roman" w:hAnsi="Times New Roman" w:cs="Times New Roman"/>
          <w:color w:val="222222"/>
          <w:sz w:val="24"/>
          <w:szCs w:val="24"/>
          <w:shd w:val="clear" w:color="auto" w:fill="FFFFFF"/>
        </w:rPr>
        <w:t xml:space="preserve"> Right to c</w:t>
      </w:r>
      <w:r w:rsidR="00A16C04" w:rsidRPr="00B30861">
        <w:rPr>
          <w:rFonts w:ascii="Times New Roman" w:hAnsi="Times New Roman" w:cs="Times New Roman"/>
          <w:color w:val="222222"/>
          <w:sz w:val="24"/>
          <w:szCs w:val="24"/>
          <w:shd w:val="clear" w:color="auto" w:fill="FFFFFF"/>
        </w:rPr>
        <w:t>ounsel should be provided in the Sixth Amendment applicable to the states through the Fourteenth Amendment</w:t>
      </w:r>
      <w:r w:rsidRPr="00B30861">
        <w:rPr>
          <w:rFonts w:ascii="Times New Roman" w:hAnsi="Times New Roman" w:cs="Times New Roman"/>
          <w:sz w:val="24"/>
          <w:szCs w:val="24"/>
        </w:rPr>
        <w:t>.</w:t>
      </w:r>
    </w:p>
    <w:p w:rsidR="008711C5" w:rsidRPr="00B30861" w:rsidRDefault="004273CB" w:rsidP="00B30861">
      <w:pPr>
        <w:spacing w:line="480" w:lineRule="auto"/>
        <w:jc w:val="center"/>
        <w:rPr>
          <w:rFonts w:ascii="Times New Roman" w:hAnsi="Times New Roman" w:cs="Times New Roman"/>
          <w:b/>
          <w:sz w:val="24"/>
          <w:szCs w:val="24"/>
        </w:rPr>
      </w:pPr>
      <w:r w:rsidRPr="00B30861">
        <w:rPr>
          <w:rFonts w:ascii="Times New Roman" w:hAnsi="Times New Roman" w:cs="Times New Roman"/>
          <w:b/>
          <w:sz w:val="24"/>
          <w:szCs w:val="24"/>
        </w:rPr>
        <w:t>Competency of the Right to Coun</w:t>
      </w:r>
      <w:r w:rsidR="000109DB" w:rsidRPr="00B30861">
        <w:rPr>
          <w:rFonts w:ascii="Times New Roman" w:hAnsi="Times New Roman" w:cs="Times New Roman"/>
          <w:b/>
          <w:sz w:val="24"/>
          <w:szCs w:val="24"/>
        </w:rPr>
        <w:t>sel</w:t>
      </w:r>
    </w:p>
    <w:p w:rsidR="008711C5" w:rsidRPr="00B30861" w:rsidRDefault="000109DB" w:rsidP="00C346C4">
      <w:pPr>
        <w:spacing w:line="480" w:lineRule="auto"/>
        <w:ind w:firstLine="720"/>
        <w:rPr>
          <w:rFonts w:ascii="Times New Roman" w:hAnsi="Times New Roman" w:cs="Times New Roman"/>
          <w:sz w:val="24"/>
          <w:szCs w:val="24"/>
        </w:rPr>
      </w:pPr>
      <w:r w:rsidRPr="00B30861">
        <w:rPr>
          <w:rFonts w:ascii="Times New Roman" w:hAnsi="Times New Roman" w:cs="Times New Roman"/>
          <w:sz w:val="24"/>
          <w:szCs w:val="24"/>
        </w:rPr>
        <w:t>The Supreme Court has recently recognized</w:t>
      </w:r>
      <w:r w:rsidR="004273CB" w:rsidRPr="00B30861">
        <w:rPr>
          <w:rFonts w:ascii="Times New Roman" w:hAnsi="Times New Roman" w:cs="Times New Roman"/>
          <w:sz w:val="24"/>
          <w:szCs w:val="24"/>
        </w:rPr>
        <w:t xml:space="preserve"> the Right of Counsel as the right to competent counsel. The competency of Ri</w:t>
      </w:r>
      <w:r w:rsidR="00145AE5" w:rsidRPr="00B30861">
        <w:rPr>
          <w:rFonts w:ascii="Times New Roman" w:hAnsi="Times New Roman" w:cs="Times New Roman"/>
          <w:sz w:val="24"/>
          <w:szCs w:val="24"/>
        </w:rPr>
        <w:t xml:space="preserve">ght to Counsel </w:t>
      </w:r>
      <w:r w:rsidR="00A04163" w:rsidRPr="00B30861">
        <w:rPr>
          <w:rFonts w:ascii="Times New Roman" w:hAnsi="Times New Roman" w:cs="Times New Roman"/>
          <w:sz w:val="24"/>
          <w:szCs w:val="24"/>
        </w:rPr>
        <w:t>is not much promising since the court plann</w:t>
      </w:r>
      <w:r w:rsidR="00145AE5" w:rsidRPr="00B30861">
        <w:rPr>
          <w:rFonts w:ascii="Times New Roman" w:hAnsi="Times New Roman" w:cs="Times New Roman"/>
          <w:sz w:val="24"/>
          <w:szCs w:val="24"/>
        </w:rPr>
        <w:t>ed</w:t>
      </w:r>
      <w:r w:rsidR="00A04163" w:rsidRPr="00B30861">
        <w:rPr>
          <w:rFonts w:ascii="Times New Roman" w:hAnsi="Times New Roman" w:cs="Times New Roman"/>
          <w:sz w:val="24"/>
          <w:szCs w:val="24"/>
        </w:rPr>
        <w:t xml:space="preserve"> to pass it through two tests of </w:t>
      </w:r>
      <w:r w:rsidR="00145AE5" w:rsidRPr="00B30861">
        <w:rPr>
          <w:rFonts w:ascii="Times New Roman" w:hAnsi="Times New Roman" w:cs="Times New Roman"/>
          <w:sz w:val="24"/>
          <w:szCs w:val="24"/>
        </w:rPr>
        <w:t xml:space="preserve">which </w:t>
      </w:r>
      <w:r w:rsidR="00A04163" w:rsidRPr="00B30861">
        <w:rPr>
          <w:rFonts w:ascii="Times New Roman" w:hAnsi="Times New Roman" w:cs="Times New Roman"/>
          <w:sz w:val="24"/>
          <w:szCs w:val="24"/>
        </w:rPr>
        <w:t>it will be practiced under the propositions of the 6</w:t>
      </w:r>
      <w:r w:rsidR="00A04163" w:rsidRPr="00B30861">
        <w:rPr>
          <w:rFonts w:ascii="Times New Roman" w:hAnsi="Times New Roman" w:cs="Times New Roman"/>
          <w:sz w:val="24"/>
          <w:szCs w:val="24"/>
          <w:vertAlign w:val="superscript"/>
        </w:rPr>
        <w:t>th</w:t>
      </w:r>
      <w:r w:rsidR="00A04163" w:rsidRPr="00B30861">
        <w:rPr>
          <w:rFonts w:ascii="Times New Roman" w:hAnsi="Times New Roman" w:cs="Times New Roman"/>
          <w:sz w:val="24"/>
          <w:szCs w:val="24"/>
        </w:rPr>
        <w:t xml:space="preserve"> Amendment</w:t>
      </w:r>
      <w:r w:rsidR="00EA6EFC">
        <w:rPr>
          <w:rFonts w:ascii="Times New Roman" w:hAnsi="Times New Roman" w:cs="Times New Roman"/>
          <w:sz w:val="24"/>
          <w:szCs w:val="24"/>
        </w:rPr>
        <w:t xml:space="preserve"> </w:t>
      </w:r>
      <w:r w:rsidR="00B30861">
        <w:rPr>
          <w:rFonts w:ascii="Times New Roman" w:hAnsi="Times New Roman" w:cs="Times New Roman"/>
          <w:sz w:val="24"/>
          <w:szCs w:val="24"/>
        </w:rPr>
        <w:t>(</w:t>
      </w:r>
      <w:r w:rsidR="00B30861">
        <w:rPr>
          <w:rFonts w:ascii="Times New Roman" w:hAnsi="Times New Roman" w:cs="Times New Roman"/>
          <w:color w:val="222222"/>
          <w:sz w:val="24"/>
          <w:szCs w:val="24"/>
          <w:shd w:val="clear" w:color="auto" w:fill="FFFFFF"/>
        </w:rPr>
        <w:t>Grano, 2016)</w:t>
      </w:r>
      <w:r w:rsidR="00A04163" w:rsidRPr="00B30861">
        <w:rPr>
          <w:rFonts w:ascii="Times New Roman" w:hAnsi="Times New Roman" w:cs="Times New Roman"/>
          <w:sz w:val="24"/>
          <w:szCs w:val="24"/>
        </w:rPr>
        <w:t xml:space="preserve">. </w:t>
      </w:r>
      <w:r w:rsidR="009058D0" w:rsidRPr="00B30861">
        <w:rPr>
          <w:rFonts w:ascii="Times New Roman" w:hAnsi="Times New Roman" w:cs="Times New Roman"/>
          <w:sz w:val="24"/>
          <w:szCs w:val="24"/>
        </w:rPr>
        <w:t xml:space="preserve"> The competency of Rights to Council can be expressed with the aid of Strickland Standard, where it should meet the following provisions. The Right to Counsel should </w:t>
      </w:r>
      <w:r w:rsidR="00520887" w:rsidRPr="00B30861">
        <w:rPr>
          <w:rFonts w:ascii="Times New Roman" w:hAnsi="Times New Roman" w:cs="Times New Roman"/>
          <w:sz w:val="24"/>
          <w:szCs w:val="24"/>
        </w:rPr>
        <w:t>provide that the attorney's performance was inadequate</w:t>
      </w:r>
      <w:r w:rsidR="00EA6EFC">
        <w:rPr>
          <w:rFonts w:ascii="Times New Roman" w:hAnsi="Times New Roman" w:cs="Times New Roman"/>
          <w:sz w:val="24"/>
          <w:szCs w:val="24"/>
        </w:rPr>
        <w:t xml:space="preserve"> </w:t>
      </w:r>
      <w:r w:rsidR="00B30861">
        <w:rPr>
          <w:rFonts w:ascii="Times New Roman" w:hAnsi="Times New Roman" w:cs="Times New Roman"/>
          <w:sz w:val="24"/>
          <w:szCs w:val="24"/>
        </w:rPr>
        <w:t>(</w:t>
      </w:r>
      <w:r w:rsidR="00B30861">
        <w:rPr>
          <w:rFonts w:ascii="Times New Roman" w:hAnsi="Times New Roman" w:cs="Times New Roman"/>
          <w:color w:val="222222"/>
          <w:sz w:val="24"/>
          <w:szCs w:val="24"/>
          <w:shd w:val="clear" w:color="auto" w:fill="FFFFFF"/>
        </w:rPr>
        <w:t>Grano, 2016)</w:t>
      </w:r>
      <w:r w:rsidR="00520887" w:rsidRPr="00B30861">
        <w:rPr>
          <w:rFonts w:ascii="Times New Roman" w:hAnsi="Times New Roman" w:cs="Times New Roman"/>
          <w:sz w:val="24"/>
          <w:szCs w:val="24"/>
        </w:rPr>
        <w:t>. Besides, it should provide that inadequacy of attorney's representation led to an unfair trial. Precisely, it should vividly confirm that the accused wa</w:t>
      </w:r>
      <w:r w:rsidR="00145AE5" w:rsidRPr="00B30861">
        <w:rPr>
          <w:rFonts w:ascii="Times New Roman" w:hAnsi="Times New Roman" w:cs="Times New Roman"/>
          <w:sz w:val="24"/>
          <w:szCs w:val="24"/>
        </w:rPr>
        <w:t>s prosecuted for an unfair ruling by</w:t>
      </w:r>
      <w:r w:rsidR="00520887" w:rsidRPr="00B30861">
        <w:rPr>
          <w:rFonts w:ascii="Times New Roman" w:hAnsi="Times New Roman" w:cs="Times New Roman"/>
          <w:sz w:val="24"/>
          <w:szCs w:val="24"/>
        </w:rPr>
        <w:t xml:space="preserve"> the attorney. </w:t>
      </w:r>
    </w:p>
    <w:p w:rsidR="00B30861" w:rsidRPr="00B30861" w:rsidRDefault="004273CB" w:rsidP="00C346C4">
      <w:pPr>
        <w:spacing w:line="480" w:lineRule="auto"/>
        <w:ind w:firstLine="720"/>
        <w:rPr>
          <w:rFonts w:ascii="Times New Roman" w:hAnsi="Times New Roman" w:cs="Times New Roman"/>
          <w:sz w:val="24"/>
          <w:szCs w:val="24"/>
        </w:rPr>
      </w:pPr>
      <w:r w:rsidRPr="00B30861">
        <w:rPr>
          <w:rFonts w:ascii="Times New Roman" w:hAnsi="Times New Roman" w:cs="Times New Roman"/>
          <w:sz w:val="24"/>
          <w:szCs w:val="24"/>
        </w:rPr>
        <w:lastRenderedPageBreak/>
        <w:t>The Right to Counsel’s competency is also seen in the situation where the defendant decides to represent themselves</w:t>
      </w:r>
      <w:r w:rsidR="008B455F" w:rsidRPr="00B30861">
        <w:rPr>
          <w:rFonts w:ascii="Times New Roman" w:hAnsi="Times New Roman" w:cs="Times New Roman"/>
          <w:sz w:val="24"/>
          <w:szCs w:val="24"/>
        </w:rPr>
        <w:t>.</w:t>
      </w:r>
      <w:r w:rsidR="00145AE5" w:rsidRPr="00B30861">
        <w:rPr>
          <w:rFonts w:ascii="Times New Roman" w:hAnsi="Times New Roman" w:cs="Times New Roman"/>
          <w:sz w:val="24"/>
          <w:szCs w:val="24"/>
        </w:rPr>
        <w:t xml:space="preserve"> Precisely</w:t>
      </w:r>
      <w:r w:rsidR="00EA6EFC">
        <w:rPr>
          <w:rFonts w:ascii="Times New Roman" w:hAnsi="Times New Roman" w:cs="Times New Roman"/>
          <w:sz w:val="24"/>
          <w:szCs w:val="24"/>
        </w:rPr>
        <w:t xml:space="preserve">, the Right </w:t>
      </w:r>
      <w:r w:rsidR="008B455F" w:rsidRPr="00B30861">
        <w:rPr>
          <w:rFonts w:ascii="Times New Roman" w:hAnsi="Times New Roman" w:cs="Times New Roman"/>
          <w:sz w:val="24"/>
          <w:szCs w:val="24"/>
        </w:rPr>
        <w:t>to Counsel has been confirmed to be useful since it does not allow the defendant to express themselves during a court hearing</w:t>
      </w:r>
      <w:r w:rsidR="00B30861">
        <w:rPr>
          <w:rFonts w:ascii="Times New Roman" w:hAnsi="Times New Roman" w:cs="Times New Roman"/>
          <w:sz w:val="24"/>
          <w:szCs w:val="24"/>
        </w:rPr>
        <w:t xml:space="preserve"> (</w:t>
      </w:r>
      <w:r w:rsidR="00B30861">
        <w:rPr>
          <w:rFonts w:ascii="Times New Roman" w:hAnsi="Times New Roman" w:cs="Times New Roman"/>
          <w:color w:val="222222"/>
          <w:sz w:val="24"/>
          <w:szCs w:val="24"/>
          <w:shd w:val="clear" w:color="auto" w:fill="FFFFFF"/>
        </w:rPr>
        <w:t>Grano, 2016)</w:t>
      </w:r>
      <w:r w:rsidR="008B455F" w:rsidRPr="00B30861">
        <w:rPr>
          <w:rFonts w:ascii="Times New Roman" w:hAnsi="Times New Roman" w:cs="Times New Roman"/>
          <w:sz w:val="24"/>
          <w:szCs w:val="24"/>
        </w:rPr>
        <w:t>.</w:t>
      </w:r>
      <w:r w:rsidR="00145AE5" w:rsidRPr="00B30861">
        <w:rPr>
          <w:rFonts w:ascii="Times New Roman" w:hAnsi="Times New Roman" w:cs="Times New Roman"/>
          <w:sz w:val="24"/>
          <w:szCs w:val="24"/>
        </w:rPr>
        <w:t xml:space="preserve"> In </w:t>
      </w:r>
      <w:r w:rsidR="00151036" w:rsidRPr="00B30861">
        <w:rPr>
          <w:rFonts w:ascii="Times New Roman" w:hAnsi="Times New Roman" w:cs="Times New Roman"/>
          <w:sz w:val="24"/>
          <w:szCs w:val="24"/>
        </w:rPr>
        <w:t>such circumstances, the Right to Counsel requires the court to appoint a lawyer who will represent the defendant in the court</w:t>
      </w:r>
      <w:r w:rsidR="00EA6EFC">
        <w:rPr>
          <w:rFonts w:ascii="Times New Roman" w:hAnsi="Times New Roman" w:cs="Times New Roman"/>
          <w:sz w:val="24"/>
          <w:szCs w:val="24"/>
        </w:rPr>
        <w:t xml:space="preserve"> </w:t>
      </w:r>
      <w:r w:rsidR="00B30861">
        <w:rPr>
          <w:rFonts w:ascii="Times New Roman" w:hAnsi="Times New Roman" w:cs="Times New Roman"/>
          <w:sz w:val="24"/>
          <w:szCs w:val="24"/>
        </w:rPr>
        <w:t>(</w:t>
      </w:r>
      <w:r w:rsidR="00B30861">
        <w:rPr>
          <w:rFonts w:ascii="Times New Roman" w:hAnsi="Times New Roman" w:cs="Times New Roman"/>
          <w:color w:val="222222"/>
          <w:sz w:val="24"/>
          <w:szCs w:val="24"/>
          <w:shd w:val="clear" w:color="auto" w:fill="FFFFFF"/>
        </w:rPr>
        <w:t>Grano, 2016)</w:t>
      </w:r>
      <w:r w:rsidR="00151036" w:rsidRPr="00B30861">
        <w:rPr>
          <w:rFonts w:ascii="Times New Roman" w:hAnsi="Times New Roman" w:cs="Times New Roman"/>
          <w:sz w:val="24"/>
          <w:szCs w:val="24"/>
        </w:rPr>
        <w:t>.</w:t>
      </w:r>
      <w:r w:rsidR="00145AE5" w:rsidRPr="00B30861">
        <w:rPr>
          <w:rFonts w:ascii="Times New Roman" w:hAnsi="Times New Roman" w:cs="Times New Roman"/>
          <w:sz w:val="24"/>
          <w:szCs w:val="24"/>
        </w:rPr>
        <w:t xml:space="preserve"> It is worth noting that the Right to Counsel does not promote incompetency since it ensures that citizens are granted all the rights based on the provisions of the state’s constitution. </w:t>
      </w:r>
    </w:p>
    <w:p w:rsidR="00B30861" w:rsidRPr="00B30861" w:rsidRDefault="00B30861" w:rsidP="00C346C4">
      <w:pPr>
        <w:spacing w:line="480" w:lineRule="auto"/>
        <w:ind w:firstLine="720"/>
        <w:rPr>
          <w:rFonts w:ascii="Times New Roman" w:hAnsi="Times New Roman" w:cs="Times New Roman"/>
          <w:sz w:val="24"/>
          <w:szCs w:val="24"/>
        </w:rPr>
      </w:pPr>
    </w:p>
    <w:p w:rsidR="00B30861" w:rsidRPr="00B30861" w:rsidRDefault="00B30861" w:rsidP="00C346C4">
      <w:pPr>
        <w:spacing w:line="480" w:lineRule="auto"/>
        <w:ind w:firstLine="720"/>
        <w:rPr>
          <w:rFonts w:ascii="Times New Roman" w:hAnsi="Times New Roman" w:cs="Times New Roman"/>
          <w:sz w:val="24"/>
          <w:szCs w:val="24"/>
        </w:rPr>
      </w:pPr>
    </w:p>
    <w:p w:rsidR="00B30861" w:rsidRPr="00B30861" w:rsidRDefault="00B30861" w:rsidP="00C346C4">
      <w:pPr>
        <w:spacing w:line="480" w:lineRule="auto"/>
        <w:ind w:firstLine="720"/>
        <w:rPr>
          <w:rFonts w:ascii="Times New Roman" w:hAnsi="Times New Roman" w:cs="Times New Roman"/>
          <w:sz w:val="24"/>
          <w:szCs w:val="24"/>
        </w:rPr>
      </w:pPr>
    </w:p>
    <w:p w:rsidR="00B30861" w:rsidRPr="00B30861" w:rsidRDefault="00B30861" w:rsidP="00C346C4">
      <w:pPr>
        <w:spacing w:line="480" w:lineRule="auto"/>
        <w:ind w:firstLine="720"/>
        <w:rPr>
          <w:rFonts w:ascii="Times New Roman" w:hAnsi="Times New Roman" w:cs="Times New Roman"/>
          <w:sz w:val="24"/>
          <w:szCs w:val="24"/>
        </w:rPr>
      </w:pPr>
    </w:p>
    <w:p w:rsidR="00B30861" w:rsidRPr="00B30861" w:rsidRDefault="00B30861" w:rsidP="00C346C4">
      <w:pPr>
        <w:spacing w:line="480" w:lineRule="auto"/>
        <w:ind w:firstLine="720"/>
        <w:rPr>
          <w:rFonts w:ascii="Times New Roman" w:hAnsi="Times New Roman" w:cs="Times New Roman"/>
          <w:sz w:val="24"/>
          <w:szCs w:val="24"/>
        </w:rPr>
      </w:pPr>
    </w:p>
    <w:p w:rsidR="00B30861" w:rsidRPr="00B30861" w:rsidRDefault="00B30861" w:rsidP="00C346C4">
      <w:pPr>
        <w:spacing w:line="480" w:lineRule="auto"/>
        <w:ind w:firstLine="720"/>
        <w:rPr>
          <w:rFonts w:ascii="Times New Roman" w:hAnsi="Times New Roman" w:cs="Times New Roman"/>
          <w:sz w:val="24"/>
          <w:szCs w:val="24"/>
        </w:rPr>
      </w:pPr>
    </w:p>
    <w:p w:rsidR="00B30861" w:rsidRPr="00B30861" w:rsidRDefault="00B30861" w:rsidP="00C346C4">
      <w:pPr>
        <w:spacing w:line="480" w:lineRule="auto"/>
        <w:ind w:firstLine="720"/>
        <w:rPr>
          <w:rFonts w:ascii="Times New Roman" w:hAnsi="Times New Roman" w:cs="Times New Roman"/>
          <w:sz w:val="24"/>
          <w:szCs w:val="24"/>
        </w:rPr>
      </w:pPr>
    </w:p>
    <w:p w:rsidR="00B30861" w:rsidRPr="00B30861" w:rsidRDefault="00B30861" w:rsidP="00C346C4">
      <w:pPr>
        <w:spacing w:line="480" w:lineRule="auto"/>
        <w:ind w:firstLine="720"/>
        <w:rPr>
          <w:rFonts w:ascii="Times New Roman" w:hAnsi="Times New Roman" w:cs="Times New Roman"/>
          <w:sz w:val="24"/>
          <w:szCs w:val="24"/>
        </w:rPr>
      </w:pPr>
    </w:p>
    <w:p w:rsidR="00B30861" w:rsidRPr="00B30861" w:rsidRDefault="00B30861" w:rsidP="00C346C4">
      <w:pPr>
        <w:spacing w:line="480" w:lineRule="auto"/>
        <w:ind w:firstLine="720"/>
        <w:rPr>
          <w:rFonts w:ascii="Times New Roman" w:hAnsi="Times New Roman" w:cs="Times New Roman"/>
          <w:sz w:val="24"/>
          <w:szCs w:val="24"/>
        </w:rPr>
      </w:pPr>
    </w:p>
    <w:p w:rsidR="00B30861" w:rsidRPr="00B30861" w:rsidRDefault="00B30861" w:rsidP="00C346C4">
      <w:pPr>
        <w:spacing w:line="480" w:lineRule="auto"/>
        <w:ind w:firstLine="720"/>
        <w:rPr>
          <w:rFonts w:ascii="Times New Roman" w:hAnsi="Times New Roman" w:cs="Times New Roman"/>
          <w:sz w:val="24"/>
          <w:szCs w:val="24"/>
        </w:rPr>
      </w:pPr>
    </w:p>
    <w:p w:rsidR="00B30861" w:rsidRPr="00B30861" w:rsidRDefault="00B30861" w:rsidP="00C346C4">
      <w:pPr>
        <w:spacing w:line="480" w:lineRule="auto"/>
        <w:ind w:firstLine="720"/>
        <w:rPr>
          <w:rFonts w:ascii="Times New Roman" w:hAnsi="Times New Roman" w:cs="Times New Roman"/>
          <w:sz w:val="24"/>
          <w:szCs w:val="24"/>
        </w:rPr>
      </w:pPr>
    </w:p>
    <w:p w:rsidR="00B30861" w:rsidRDefault="00B30861" w:rsidP="00687EC6">
      <w:pPr>
        <w:spacing w:line="480" w:lineRule="auto"/>
        <w:rPr>
          <w:rFonts w:ascii="Times New Roman" w:hAnsi="Times New Roman" w:cs="Times New Roman"/>
          <w:sz w:val="24"/>
          <w:szCs w:val="24"/>
        </w:rPr>
      </w:pPr>
    </w:p>
    <w:p w:rsidR="00687EC6" w:rsidRPr="00B30861" w:rsidRDefault="00687EC6" w:rsidP="00687EC6">
      <w:pPr>
        <w:spacing w:line="480" w:lineRule="auto"/>
        <w:rPr>
          <w:rFonts w:ascii="Times New Roman" w:hAnsi="Times New Roman" w:cs="Times New Roman"/>
          <w:sz w:val="24"/>
          <w:szCs w:val="24"/>
        </w:rPr>
      </w:pPr>
      <w:bookmarkStart w:id="0" w:name="_GoBack"/>
      <w:bookmarkEnd w:id="0"/>
    </w:p>
    <w:p w:rsidR="000109DB" w:rsidRPr="00B30861" w:rsidRDefault="00B30861" w:rsidP="00B30861">
      <w:pPr>
        <w:spacing w:line="480" w:lineRule="auto"/>
        <w:ind w:firstLine="720"/>
        <w:jc w:val="center"/>
        <w:rPr>
          <w:rFonts w:ascii="Times New Roman" w:hAnsi="Times New Roman" w:cs="Times New Roman"/>
          <w:sz w:val="24"/>
          <w:szCs w:val="24"/>
        </w:rPr>
      </w:pPr>
      <w:r w:rsidRPr="00B30861">
        <w:rPr>
          <w:rFonts w:ascii="Times New Roman" w:hAnsi="Times New Roman" w:cs="Times New Roman"/>
          <w:sz w:val="24"/>
          <w:szCs w:val="24"/>
        </w:rPr>
        <w:lastRenderedPageBreak/>
        <w:t>References</w:t>
      </w:r>
    </w:p>
    <w:p w:rsidR="00B30861" w:rsidRDefault="00B30861" w:rsidP="00B30861">
      <w:pPr>
        <w:spacing w:line="480" w:lineRule="auto"/>
        <w:rPr>
          <w:rFonts w:ascii="Times New Roman" w:hAnsi="Times New Roman" w:cs="Times New Roman"/>
          <w:color w:val="222222"/>
          <w:sz w:val="24"/>
          <w:szCs w:val="24"/>
          <w:shd w:val="clear" w:color="auto" w:fill="FFFFFF"/>
        </w:rPr>
      </w:pPr>
      <w:r w:rsidRPr="00B30861">
        <w:rPr>
          <w:rFonts w:ascii="Times New Roman" w:hAnsi="Times New Roman" w:cs="Times New Roman"/>
          <w:color w:val="222222"/>
          <w:sz w:val="24"/>
          <w:szCs w:val="24"/>
          <w:shd w:val="clear" w:color="auto" w:fill="FFFFFF"/>
        </w:rPr>
        <w:t xml:space="preserve">Backus, M. S., &amp; Marcus, P. (2015). The Right to Counsel in Criminal Cases, A National </w:t>
      </w:r>
    </w:p>
    <w:p w:rsidR="00B30861" w:rsidRPr="00B30861" w:rsidRDefault="00B30861" w:rsidP="00B30861">
      <w:pPr>
        <w:spacing w:line="480" w:lineRule="auto"/>
        <w:ind w:firstLine="720"/>
        <w:rPr>
          <w:rFonts w:ascii="Times New Roman" w:hAnsi="Times New Roman" w:cs="Times New Roman"/>
          <w:color w:val="222222"/>
          <w:sz w:val="24"/>
          <w:szCs w:val="24"/>
          <w:shd w:val="clear" w:color="auto" w:fill="FFFFFF"/>
        </w:rPr>
      </w:pPr>
      <w:r w:rsidRPr="00B30861">
        <w:rPr>
          <w:rFonts w:ascii="Times New Roman" w:hAnsi="Times New Roman" w:cs="Times New Roman"/>
          <w:color w:val="222222"/>
          <w:sz w:val="24"/>
          <w:szCs w:val="24"/>
          <w:shd w:val="clear" w:color="auto" w:fill="FFFFFF"/>
        </w:rPr>
        <w:t>Crisis. </w:t>
      </w:r>
      <w:r w:rsidRPr="00B30861">
        <w:rPr>
          <w:rFonts w:ascii="Times New Roman" w:hAnsi="Times New Roman" w:cs="Times New Roman"/>
          <w:i/>
          <w:iCs/>
          <w:color w:val="222222"/>
          <w:sz w:val="24"/>
          <w:szCs w:val="24"/>
          <w:shd w:val="clear" w:color="auto" w:fill="FFFFFF"/>
        </w:rPr>
        <w:t>Hastings lj</w:t>
      </w:r>
      <w:r w:rsidRPr="00B30861">
        <w:rPr>
          <w:rFonts w:ascii="Times New Roman" w:hAnsi="Times New Roman" w:cs="Times New Roman"/>
          <w:color w:val="222222"/>
          <w:sz w:val="24"/>
          <w:szCs w:val="24"/>
          <w:shd w:val="clear" w:color="auto" w:fill="FFFFFF"/>
        </w:rPr>
        <w:t>, </w:t>
      </w:r>
      <w:r w:rsidRPr="00B30861">
        <w:rPr>
          <w:rFonts w:ascii="Times New Roman" w:hAnsi="Times New Roman" w:cs="Times New Roman"/>
          <w:i/>
          <w:iCs/>
          <w:color w:val="222222"/>
          <w:sz w:val="24"/>
          <w:szCs w:val="24"/>
          <w:shd w:val="clear" w:color="auto" w:fill="FFFFFF"/>
        </w:rPr>
        <w:t>57</w:t>
      </w:r>
      <w:r w:rsidRPr="00B30861">
        <w:rPr>
          <w:rFonts w:ascii="Times New Roman" w:hAnsi="Times New Roman" w:cs="Times New Roman"/>
          <w:color w:val="222222"/>
          <w:sz w:val="24"/>
          <w:szCs w:val="24"/>
          <w:shd w:val="clear" w:color="auto" w:fill="FFFFFF"/>
        </w:rPr>
        <w:t>, 1031.</w:t>
      </w:r>
    </w:p>
    <w:p w:rsidR="00B30861" w:rsidRDefault="00B30861" w:rsidP="00B30861">
      <w:pPr>
        <w:spacing w:line="480" w:lineRule="auto"/>
        <w:rPr>
          <w:rFonts w:ascii="Times New Roman" w:hAnsi="Times New Roman" w:cs="Times New Roman"/>
          <w:i/>
          <w:iCs/>
          <w:color w:val="222222"/>
          <w:sz w:val="24"/>
          <w:szCs w:val="24"/>
          <w:shd w:val="clear" w:color="auto" w:fill="FFFFFF"/>
        </w:rPr>
      </w:pPr>
      <w:r>
        <w:rPr>
          <w:rFonts w:ascii="Times New Roman" w:hAnsi="Times New Roman" w:cs="Times New Roman"/>
          <w:color w:val="222222"/>
          <w:sz w:val="24"/>
          <w:szCs w:val="24"/>
          <w:shd w:val="clear" w:color="auto" w:fill="FFFFFF"/>
        </w:rPr>
        <w:t>Grano, J. D. (2016</w:t>
      </w:r>
      <w:r w:rsidRPr="00B30861">
        <w:rPr>
          <w:rFonts w:ascii="Times New Roman" w:hAnsi="Times New Roman" w:cs="Times New Roman"/>
          <w:color w:val="222222"/>
          <w:sz w:val="24"/>
          <w:szCs w:val="24"/>
          <w:shd w:val="clear" w:color="auto" w:fill="FFFFFF"/>
        </w:rPr>
        <w:t>). The Right to Counsel: Collateral Issues Affecting Due Process. </w:t>
      </w:r>
      <w:r w:rsidRPr="00B30861">
        <w:rPr>
          <w:rFonts w:ascii="Times New Roman" w:hAnsi="Times New Roman" w:cs="Times New Roman"/>
          <w:i/>
          <w:iCs/>
          <w:color w:val="222222"/>
          <w:sz w:val="24"/>
          <w:szCs w:val="24"/>
          <w:shd w:val="clear" w:color="auto" w:fill="FFFFFF"/>
        </w:rPr>
        <w:t xml:space="preserve">Minn. L. </w:t>
      </w:r>
    </w:p>
    <w:p w:rsidR="00B30861" w:rsidRPr="00B30861" w:rsidRDefault="00B30861" w:rsidP="00B30861">
      <w:pPr>
        <w:spacing w:line="480" w:lineRule="auto"/>
        <w:ind w:firstLine="720"/>
        <w:rPr>
          <w:rFonts w:ascii="Times New Roman" w:hAnsi="Times New Roman" w:cs="Times New Roman"/>
          <w:sz w:val="24"/>
          <w:szCs w:val="24"/>
        </w:rPr>
      </w:pPr>
      <w:r w:rsidRPr="00B30861">
        <w:rPr>
          <w:rFonts w:ascii="Times New Roman" w:hAnsi="Times New Roman" w:cs="Times New Roman"/>
          <w:i/>
          <w:iCs/>
          <w:color w:val="222222"/>
          <w:sz w:val="24"/>
          <w:szCs w:val="24"/>
          <w:shd w:val="clear" w:color="auto" w:fill="FFFFFF"/>
        </w:rPr>
        <w:t>Rev.</w:t>
      </w:r>
      <w:r w:rsidRPr="00B30861">
        <w:rPr>
          <w:rFonts w:ascii="Times New Roman" w:hAnsi="Times New Roman" w:cs="Times New Roman"/>
          <w:color w:val="222222"/>
          <w:sz w:val="24"/>
          <w:szCs w:val="24"/>
          <w:shd w:val="clear" w:color="auto" w:fill="FFFFFF"/>
        </w:rPr>
        <w:t>, </w:t>
      </w:r>
      <w:r w:rsidRPr="00B30861">
        <w:rPr>
          <w:rFonts w:ascii="Times New Roman" w:hAnsi="Times New Roman" w:cs="Times New Roman"/>
          <w:i/>
          <w:iCs/>
          <w:color w:val="222222"/>
          <w:sz w:val="24"/>
          <w:szCs w:val="24"/>
          <w:shd w:val="clear" w:color="auto" w:fill="FFFFFF"/>
        </w:rPr>
        <w:t>54</w:t>
      </w:r>
      <w:r w:rsidRPr="00B30861">
        <w:rPr>
          <w:rFonts w:ascii="Times New Roman" w:hAnsi="Times New Roman" w:cs="Times New Roman"/>
          <w:color w:val="222222"/>
          <w:sz w:val="24"/>
          <w:szCs w:val="24"/>
          <w:shd w:val="clear" w:color="auto" w:fill="FFFFFF"/>
        </w:rPr>
        <w:t>, 1175.</w:t>
      </w:r>
    </w:p>
    <w:sectPr w:rsidR="00B30861" w:rsidRPr="00B30861" w:rsidSect="006568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0C61" w:rsidRDefault="00D20C61">
      <w:pPr>
        <w:spacing w:after="0" w:line="240" w:lineRule="auto"/>
      </w:pPr>
      <w:r>
        <w:separator/>
      </w:r>
    </w:p>
  </w:endnote>
  <w:endnote w:type="continuationSeparator" w:id="1">
    <w:p w:rsidR="00D20C61" w:rsidRDefault="00D20C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0C61" w:rsidRDefault="00D20C61">
      <w:pPr>
        <w:spacing w:after="0" w:line="240" w:lineRule="auto"/>
      </w:pPr>
      <w:r>
        <w:separator/>
      </w:r>
    </w:p>
  </w:footnote>
  <w:footnote w:type="continuationSeparator" w:id="1">
    <w:p w:rsidR="00D20C61" w:rsidRDefault="00D20C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4074565"/>
      <w:docPartObj>
        <w:docPartGallery w:val="Page Numbers (Top of Page)"/>
        <w:docPartUnique/>
      </w:docPartObj>
    </w:sdtPr>
    <w:sdtEndPr>
      <w:rPr>
        <w:rFonts w:ascii="Times New Roman" w:hAnsi="Times New Roman" w:cs="Times New Roman"/>
        <w:noProof/>
        <w:sz w:val="24"/>
        <w:szCs w:val="24"/>
      </w:rPr>
    </w:sdtEndPr>
    <w:sdtContent>
      <w:p w:rsidR="00145AE5" w:rsidRPr="00145AE5" w:rsidRDefault="004273CB" w:rsidP="00145AE5">
        <w:pPr>
          <w:rPr>
            <w:rFonts w:ascii="Times New Roman" w:hAnsi="Times New Roman" w:cs="Times New Roman"/>
            <w:sz w:val="24"/>
            <w:szCs w:val="24"/>
          </w:rPr>
        </w:pPr>
        <w:r w:rsidRPr="00145AE5">
          <w:rPr>
            <w:rFonts w:ascii="Times New Roman" w:hAnsi="Times New Roman" w:cs="Times New Roman"/>
            <w:sz w:val="24"/>
            <w:szCs w:val="24"/>
          </w:rPr>
          <w:t>RIGHT TO COUNSEL</w:t>
        </w:r>
        <w:r w:rsidR="00756CDF">
          <w:rPr>
            <w:rFonts w:ascii="Times New Roman" w:hAnsi="Times New Roman" w:cs="Times New Roman"/>
            <w:sz w:val="24"/>
            <w:szCs w:val="24"/>
          </w:rPr>
          <w:t xml:space="preserve">                                                                                                                   </w:t>
        </w:r>
        <w:r w:rsidR="00F52522" w:rsidRPr="00145AE5">
          <w:rPr>
            <w:rFonts w:ascii="Times New Roman" w:hAnsi="Times New Roman" w:cs="Times New Roman"/>
            <w:sz w:val="24"/>
            <w:szCs w:val="24"/>
          </w:rPr>
          <w:fldChar w:fldCharType="begin"/>
        </w:r>
        <w:r w:rsidRPr="00145AE5">
          <w:rPr>
            <w:rFonts w:ascii="Times New Roman" w:hAnsi="Times New Roman" w:cs="Times New Roman"/>
            <w:sz w:val="24"/>
            <w:szCs w:val="24"/>
          </w:rPr>
          <w:instrText xml:space="preserve"> PAGE   \* MERGEFORMAT </w:instrText>
        </w:r>
        <w:r w:rsidR="00F52522" w:rsidRPr="00145AE5">
          <w:rPr>
            <w:rFonts w:ascii="Times New Roman" w:hAnsi="Times New Roman" w:cs="Times New Roman"/>
            <w:sz w:val="24"/>
            <w:szCs w:val="24"/>
          </w:rPr>
          <w:fldChar w:fldCharType="separate"/>
        </w:r>
        <w:r w:rsidR="00EA6EFC">
          <w:rPr>
            <w:rFonts w:ascii="Times New Roman" w:hAnsi="Times New Roman" w:cs="Times New Roman"/>
            <w:noProof/>
            <w:sz w:val="24"/>
            <w:szCs w:val="24"/>
          </w:rPr>
          <w:t>5</w:t>
        </w:r>
        <w:r w:rsidR="00F52522" w:rsidRPr="00145AE5">
          <w:rPr>
            <w:rFonts w:ascii="Times New Roman" w:hAnsi="Times New Roman" w:cs="Times New Roman"/>
            <w:noProof/>
            <w:sz w:val="24"/>
            <w:szCs w:val="24"/>
          </w:rPr>
          <w:fldChar w:fldCharType="end"/>
        </w:r>
      </w:p>
    </w:sdtContent>
  </w:sdt>
  <w:p w:rsidR="00145AE5" w:rsidRDefault="00145A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54891091"/>
      <w:docPartObj>
        <w:docPartGallery w:val="Page Numbers (Top of Page)"/>
        <w:docPartUnique/>
      </w:docPartObj>
    </w:sdtPr>
    <w:sdtEndPr>
      <w:rPr>
        <w:noProof/>
      </w:rPr>
    </w:sdtEndPr>
    <w:sdtContent>
      <w:p w:rsidR="006568C0" w:rsidRPr="006568C0" w:rsidRDefault="004273CB" w:rsidP="006568C0">
        <w:pPr>
          <w:rPr>
            <w:rFonts w:ascii="Times New Roman" w:hAnsi="Times New Roman" w:cs="Times New Roman"/>
            <w:sz w:val="24"/>
            <w:szCs w:val="24"/>
          </w:rPr>
        </w:pPr>
        <w:r w:rsidRPr="006568C0">
          <w:rPr>
            <w:rFonts w:ascii="Times New Roman" w:hAnsi="Times New Roman" w:cs="Times New Roman"/>
            <w:sz w:val="24"/>
            <w:szCs w:val="24"/>
          </w:rPr>
          <w:t xml:space="preserve">Running head: RIGHT TO COUNSEL            </w:t>
        </w:r>
        <w:r w:rsidR="00756CDF">
          <w:rPr>
            <w:rFonts w:ascii="Times New Roman" w:hAnsi="Times New Roman" w:cs="Times New Roman"/>
            <w:sz w:val="24"/>
            <w:szCs w:val="24"/>
          </w:rPr>
          <w:t xml:space="preserve">                                                                               </w:t>
        </w:r>
        <w:r w:rsidR="00F52522" w:rsidRPr="006568C0">
          <w:rPr>
            <w:rFonts w:ascii="Times New Roman" w:hAnsi="Times New Roman" w:cs="Times New Roman"/>
            <w:sz w:val="24"/>
            <w:szCs w:val="24"/>
          </w:rPr>
          <w:fldChar w:fldCharType="begin"/>
        </w:r>
        <w:r w:rsidRPr="006568C0">
          <w:rPr>
            <w:rFonts w:ascii="Times New Roman" w:hAnsi="Times New Roman" w:cs="Times New Roman"/>
            <w:sz w:val="24"/>
            <w:szCs w:val="24"/>
          </w:rPr>
          <w:instrText xml:space="preserve"> PAGE   \* MERGEFORMAT </w:instrText>
        </w:r>
        <w:r w:rsidR="00F52522" w:rsidRPr="006568C0">
          <w:rPr>
            <w:rFonts w:ascii="Times New Roman" w:hAnsi="Times New Roman" w:cs="Times New Roman"/>
            <w:sz w:val="24"/>
            <w:szCs w:val="24"/>
          </w:rPr>
          <w:fldChar w:fldCharType="separate"/>
        </w:r>
        <w:r w:rsidR="00EA6EFC">
          <w:rPr>
            <w:rFonts w:ascii="Times New Roman" w:hAnsi="Times New Roman" w:cs="Times New Roman"/>
            <w:noProof/>
            <w:sz w:val="24"/>
            <w:szCs w:val="24"/>
          </w:rPr>
          <w:t>1</w:t>
        </w:r>
        <w:r w:rsidR="00F52522" w:rsidRPr="006568C0">
          <w:rPr>
            <w:rFonts w:ascii="Times New Roman" w:hAnsi="Times New Roman" w:cs="Times New Roman"/>
            <w:noProof/>
            <w:sz w:val="24"/>
            <w:szCs w:val="24"/>
          </w:rPr>
          <w:fldChar w:fldCharType="end"/>
        </w:r>
      </w:p>
    </w:sdtContent>
  </w:sdt>
  <w:p w:rsidR="006568C0" w:rsidRDefault="006568C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7A1E"/>
    <w:rsid w:val="000109DB"/>
    <w:rsid w:val="00070A2A"/>
    <w:rsid w:val="00094489"/>
    <w:rsid w:val="001372EC"/>
    <w:rsid w:val="00145AE5"/>
    <w:rsid w:val="00151036"/>
    <w:rsid w:val="001960B1"/>
    <w:rsid w:val="003A3E51"/>
    <w:rsid w:val="004273CB"/>
    <w:rsid w:val="004B1B00"/>
    <w:rsid w:val="004C7447"/>
    <w:rsid w:val="004F797A"/>
    <w:rsid w:val="00520887"/>
    <w:rsid w:val="00543FBD"/>
    <w:rsid w:val="00620A4A"/>
    <w:rsid w:val="006568C0"/>
    <w:rsid w:val="00687EC6"/>
    <w:rsid w:val="006D28EC"/>
    <w:rsid w:val="00756CDF"/>
    <w:rsid w:val="00810C68"/>
    <w:rsid w:val="00856A3E"/>
    <w:rsid w:val="008711C5"/>
    <w:rsid w:val="008B455F"/>
    <w:rsid w:val="009058D0"/>
    <w:rsid w:val="00A04163"/>
    <w:rsid w:val="00A16C04"/>
    <w:rsid w:val="00AB5C4D"/>
    <w:rsid w:val="00AF5C1C"/>
    <w:rsid w:val="00B30861"/>
    <w:rsid w:val="00B37A1E"/>
    <w:rsid w:val="00BE3F7E"/>
    <w:rsid w:val="00C346C4"/>
    <w:rsid w:val="00D20C61"/>
    <w:rsid w:val="00E260FD"/>
    <w:rsid w:val="00E5796F"/>
    <w:rsid w:val="00EA6EFC"/>
    <w:rsid w:val="00F52522"/>
    <w:rsid w:val="00FA619A"/>
    <w:rsid w:val="00FC1B63"/>
    <w:rsid w:val="00FD62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5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AE5"/>
  </w:style>
  <w:style w:type="paragraph" w:styleId="Footer">
    <w:name w:val="footer"/>
    <w:basedOn w:val="Normal"/>
    <w:link w:val="FooterChar"/>
    <w:uiPriority w:val="99"/>
    <w:unhideWhenUsed/>
    <w:rsid w:val="00145A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AE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2020-07-23T19:26:00Z</dcterms:created>
  <dcterms:modified xsi:type="dcterms:W3CDTF">2020-07-23T19:26:00Z</dcterms:modified>
</cp:coreProperties>
</file>